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17</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曲靖宏光制鬃有限责任公司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曲靖宏光制鬃有限责任公司2021年度、2022年度均未依法报送年度报告且未进行纳税申报。并在登记住所(经营场所)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宏光制鬃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宏光制鬃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9455D06"/>
    <w:rsid w:val="0A2C54E8"/>
    <w:rsid w:val="1AFC38AA"/>
    <w:rsid w:val="1CEE32F7"/>
    <w:rsid w:val="1D8C74A3"/>
    <w:rsid w:val="22CA474C"/>
    <w:rsid w:val="2C0B562F"/>
    <w:rsid w:val="2CDE068C"/>
    <w:rsid w:val="2DC56ABA"/>
    <w:rsid w:val="39592840"/>
    <w:rsid w:val="395D17E0"/>
    <w:rsid w:val="44C506C3"/>
    <w:rsid w:val="45140143"/>
    <w:rsid w:val="4645355A"/>
    <w:rsid w:val="54810AC6"/>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23</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2024-08-09T01:42:44Z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9EB0BC86AF694EF28C7B6318F7D4C0CF</vt:lpwstr>
  </property>
</Properties>
</file>