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80" w:lineRule="auto"/>
        <w:jc w:val="center"/>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sz w:val="44"/>
          <w:szCs w:val="44"/>
          <w:u w:val="single"/>
        </w:rPr>
        <w:t>曲靖市马龙区</w:t>
      </w:r>
      <w:r>
        <w:rPr>
          <w:rFonts w:hint="eastAsia" w:ascii="方正小标宋简体" w:hAnsi="Microsoft JhengHei" w:eastAsia="方正小标宋简体" w:cs="Microsoft JhengHei"/>
          <w:spacing w:val="-2"/>
          <w:sz w:val="44"/>
          <w:szCs w:val="44"/>
        </w:rPr>
        <w:t>市场监督管理局</w:t>
      </w:r>
    </w:p>
    <w:p>
      <w:pPr>
        <w:spacing w:before="64" w:line="182" w:lineRule="auto"/>
        <w:ind w:firstLine="2637"/>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color w:val="00000A"/>
          <w:spacing w:val="-2"/>
          <w:sz w:val="44"/>
          <w:szCs w:val="44"/>
        </w:rPr>
        <w:t>行政处罚告知书</w:t>
      </w:r>
    </w:p>
    <w:p>
      <w:pPr>
        <w:tabs>
          <w:tab w:val="left" w:pos="2752"/>
        </w:tabs>
        <w:spacing w:before="104" w:line="183" w:lineRule="auto"/>
        <w:ind w:firstLine="2406"/>
        <w:rPr>
          <w:rFonts w:ascii="仿宋" w:hAnsi="仿宋" w:eastAsia="仿宋" w:cs="仿宋"/>
          <w:sz w:val="32"/>
          <w:szCs w:val="32"/>
        </w:rPr>
      </w:pPr>
      <w:r>
        <w:rPr>
          <w:rFonts w:ascii="Microsoft JhengHei" w:hAnsi="Microsoft JhengHei" w:eastAsia="Microsoft JhengHei" w:cs="Microsoft JhengHei"/>
          <w:u w:val="none"/>
        </w:rPr>
        <w:tab/>
      </w:r>
      <w:r>
        <w:rPr>
          <w:rFonts w:hint="eastAsia" w:ascii="Microsoft JhengHei" w:hAnsi="Microsoft JhengHei" w:eastAsia="宋体" w:cs="Microsoft JhengHei"/>
          <w:sz w:val="32"/>
          <w:szCs w:val="32"/>
          <w:u w:val="none"/>
          <w:lang w:eastAsia="zh-CN"/>
        </w:rPr>
        <w:t>马</w:t>
      </w:r>
      <w:r>
        <w:rPr>
          <w:rFonts w:hint="eastAsia" w:ascii="仿宋" w:hAnsi="仿宋" w:eastAsia="仿宋" w:cs="仿宋"/>
          <w:spacing w:val="-7"/>
          <w:sz w:val="32"/>
          <w:szCs w:val="32"/>
        </w:rPr>
        <w:t>市监</w:t>
      </w:r>
      <w:r>
        <w:rPr>
          <w:rFonts w:hint="eastAsia" w:ascii="仿宋" w:hAnsi="仿宋" w:eastAsia="仿宋" w:cs="仿宋"/>
          <w:spacing w:val="-7"/>
          <w:sz w:val="32"/>
          <w:szCs w:val="32"/>
          <w:lang w:eastAsia="zh-CN"/>
        </w:rPr>
        <w:t>信</w:t>
      </w:r>
      <w:r>
        <w:rPr>
          <w:rFonts w:hint="eastAsia" w:ascii="仿宋" w:hAnsi="仿宋" w:eastAsia="仿宋" w:cs="仿宋"/>
          <w:spacing w:val="-7"/>
          <w:sz w:val="32"/>
          <w:szCs w:val="32"/>
        </w:rPr>
        <w:t>罚告</w:t>
      </w:r>
      <w:r>
        <w:rPr>
          <w:rFonts w:hint="eastAsia" w:ascii="仿宋" w:hAnsi="仿宋" w:eastAsia="仿宋" w:cs="仿宋"/>
          <w:spacing w:val="-7"/>
          <w:sz w:val="32"/>
          <w:szCs w:val="32"/>
          <w:u w:val="none"/>
        </w:rPr>
        <w:t>〔</w:t>
      </w:r>
      <w:r>
        <w:rPr>
          <w:rFonts w:ascii="仿宋" w:hAnsi="仿宋" w:eastAsia="仿宋" w:cs="仿宋"/>
          <w:spacing w:val="18"/>
          <w:sz w:val="32"/>
          <w:szCs w:val="32"/>
          <w:u w:val="none"/>
        </w:rPr>
        <w:t xml:space="preserve"> </w:t>
      </w:r>
      <w:r>
        <w:rPr>
          <w:rFonts w:hint="eastAsia" w:ascii="仿宋" w:hAnsi="仿宋" w:eastAsia="仿宋" w:cs="仿宋"/>
          <w:spacing w:val="18"/>
          <w:sz w:val="32"/>
          <w:szCs w:val="32"/>
          <w:u w:val="none"/>
          <w:lang w:val="en-US" w:eastAsia="zh-CN"/>
        </w:rPr>
        <w:t>2024</w:t>
      </w:r>
      <w:r>
        <w:rPr>
          <w:rFonts w:hint="eastAsia" w:ascii="仿宋" w:hAnsi="仿宋" w:eastAsia="仿宋" w:cs="仿宋"/>
          <w:spacing w:val="-7"/>
          <w:sz w:val="32"/>
          <w:szCs w:val="32"/>
          <w:u w:val="none"/>
        </w:rPr>
        <w:t>〕</w:t>
      </w:r>
      <w:r>
        <w:rPr>
          <w:rFonts w:hint="eastAsia" w:ascii="仿宋" w:hAnsi="仿宋" w:eastAsia="仿宋" w:cs="仿宋"/>
          <w:spacing w:val="-7"/>
          <w:sz w:val="32"/>
          <w:szCs w:val="32"/>
          <w:lang w:val="en-US" w:eastAsia="zh-CN"/>
        </w:rPr>
        <w:t>03</w:t>
      </w:r>
      <w:r>
        <w:rPr>
          <w:rFonts w:hint="eastAsia" w:ascii="仿宋" w:hAnsi="仿宋" w:eastAsia="仿宋" w:cs="仿宋"/>
          <w:spacing w:val="-7"/>
          <w:sz w:val="32"/>
          <w:szCs w:val="32"/>
        </w:rPr>
        <w:t>号</w:t>
      </w:r>
    </w:p>
    <w:p>
      <w:pPr>
        <w:tabs>
          <w:tab w:val="left" w:pos="3728"/>
        </w:tabs>
        <w:spacing w:before="369" w:line="183" w:lineRule="auto"/>
        <w:ind w:firstLine="16"/>
        <w:rPr>
          <w:rFonts w:hint="eastAsia" w:ascii="仿宋_GB2312" w:hAnsi="仿宋_GB2312" w:eastAsia="仿宋_GB2312" w:cs="仿宋_GB2312"/>
          <w:sz w:val="30"/>
          <w:szCs w:val="30"/>
        </w:rPr>
      </w:pPr>
      <w:r>
        <w:rPr>
          <w:rFonts w:hint="eastAsia" w:ascii="仿宋_GB2312" w:hAnsi="仿宋_GB2312" w:eastAsia="仿宋_GB2312" w:cs="仿宋_GB2312"/>
          <w:sz w:val="30"/>
          <w:szCs w:val="30"/>
          <w:u w:val="none"/>
        </w:rPr>
        <w:t>马龙县正杰缘婚庆有限责任公司</w:t>
      </w:r>
      <w:r>
        <w:rPr>
          <w:rFonts w:hint="eastAsia" w:ascii="仿宋_GB2312" w:hAnsi="仿宋_GB2312" w:eastAsia="仿宋_GB2312" w:cs="仿宋_GB2312"/>
          <w:sz w:val="30"/>
          <w:szCs w:val="30"/>
        </w:rPr>
        <w:t>：</w:t>
      </w:r>
    </w:p>
    <w:p>
      <w:pPr>
        <w:tabs>
          <w:tab w:val="left" w:pos="3730"/>
        </w:tabs>
        <w:spacing w:before="189" w:line="288" w:lineRule="auto"/>
        <w:ind w:left="16" w:right="16" w:firstLine="697"/>
        <w:rPr>
          <w:rFonts w:hint="eastAsia" w:ascii="仿宋_GB2312" w:hAnsi="仿宋_GB2312" w:eastAsia="仿宋_GB2312" w:cs="仿宋_GB2312"/>
          <w:sz w:val="30"/>
          <w:szCs w:val="30"/>
          <w:u w:val="single"/>
        </w:rPr>
      </w:pPr>
      <w:r>
        <w:rPr>
          <w:rFonts w:hint="eastAsia" w:ascii="仿宋_GB2312" w:hAnsi="仿宋_GB2312" w:eastAsia="仿宋_GB2312" w:cs="仿宋_GB2312"/>
          <w:spacing w:val="-14"/>
          <w:sz w:val="30"/>
          <w:szCs w:val="30"/>
        </w:rPr>
        <w:t>由本局立案调查的</w:t>
      </w:r>
      <w:r>
        <w:rPr>
          <w:rFonts w:hint="eastAsia" w:ascii="仿宋_GB2312" w:hAnsi="仿宋_GB2312" w:eastAsia="仿宋_GB2312" w:cs="仿宋_GB2312"/>
          <w:spacing w:val="8"/>
          <w:sz w:val="30"/>
          <w:szCs w:val="30"/>
          <w:u w:val="none"/>
        </w:rPr>
        <w:t xml:space="preserve"> </w:t>
      </w:r>
      <w:r>
        <w:rPr>
          <w:rFonts w:hint="eastAsia" w:ascii="仿宋_GB2312" w:hAnsi="仿宋_GB2312" w:eastAsia="仿宋_GB2312" w:cs="仿宋_GB2312"/>
          <w:sz w:val="30"/>
          <w:szCs w:val="30"/>
          <w:u w:val="none"/>
        </w:rPr>
        <w:t>马龙县正杰缘婚庆有限责任公司</w:t>
      </w:r>
      <w:r>
        <w:rPr>
          <w:rFonts w:hint="eastAsia" w:ascii="仿宋_GB2312" w:hAnsi="仿宋_GB2312" w:eastAsia="仿宋_GB2312" w:cs="仿宋_GB2312"/>
          <w:spacing w:val="8"/>
          <w:sz w:val="30"/>
          <w:szCs w:val="30"/>
          <w:u w:val="none"/>
        </w:rPr>
        <w:t xml:space="preserve">2021年度、2022年度均未依法报送年度报告且未进行纳税申报。并在登记住所(经营场所) 无法取得联系。涉嫌构成不按规定年报，成立后无正当理由超过六个月未开业，或者开业后自行停业连续六个月以上的违法行为 </w:t>
      </w:r>
      <w:r>
        <w:rPr>
          <w:rFonts w:hint="eastAsia" w:ascii="仿宋_GB2312" w:hAnsi="仿宋_GB2312" w:eastAsia="仿宋_GB2312" w:cs="仿宋_GB2312"/>
          <w:spacing w:val="1"/>
          <w:sz w:val="30"/>
          <w:szCs w:val="30"/>
        </w:rPr>
        <w:t>一案，</w:t>
      </w:r>
      <w:r>
        <w:rPr>
          <w:rFonts w:hint="eastAsia" w:ascii="仿宋_GB2312" w:hAnsi="仿宋_GB2312" w:eastAsia="仿宋_GB2312" w:cs="仿宋_GB2312"/>
          <w:spacing w:val="-67"/>
          <w:sz w:val="30"/>
          <w:szCs w:val="30"/>
        </w:rPr>
        <w:t xml:space="preserve"> </w:t>
      </w:r>
      <w:r>
        <w:rPr>
          <w:rFonts w:hint="eastAsia" w:ascii="仿宋_GB2312" w:hAnsi="仿宋_GB2312" w:eastAsia="仿宋_GB2312" w:cs="仿宋_GB2312"/>
          <w:spacing w:val="1"/>
          <w:sz w:val="30"/>
          <w:szCs w:val="30"/>
        </w:rPr>
        <w:t>已调查终结。依据《中华</w:t>
      </w:r>
      <w:r>
        <w:rPr>
          <w:rFonts w:hint="eastAsia" w:ascii="仿宋_GB2312" w:hAnsi="仿宋_GB2312" w:eastAsia="仿宋_GB2312" w:cs="仿宋_GB2312"/>
          <w:spacing w:val="-8"/>
          <w:sz w:val="30"/>
          <w:szCs w:val="30"/>
        </w:rPr>
        <w:t>人民共和国行政处罚法》</w:t>
      </w:r>
      <w:r>
        <w:rPr>
          <w:rFonts w:hint="eastAsia" w:ascii="仿宋_GB2312" w:hAnsi="仿宋_GB2312" w:eastAsia="仿宋_GB2312" w:cs="仿宋_GB2312"/>
          <w:spacing w:val="29"/>
          <w:sz w:val="30"/>
          <w:szCs w:val="30"/>
        </w:rPr>
        <w:t xml:space="preserve"> </w:t>
      </w:r>
      <w:r>
        <w:rPr>
          <w:rFonts w:hint="eastAsia" w:ascii="仿宋_GB2312" w:hAnsi="仿宋_GB2312" w:eastAsia="仿宋_GB2312" w:cs="仿宋_GB2312"/>
          <w:spacing w:val="-8"/>
          <w:sz w:val="30"/>
          <w:szCs w:val="30"/>
        </w:rPr>
        <w:t>第四十四条的规定，现将本局拟作</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11"/>
          <w:sz w:val="30"/>
          <w:szCs w:val="30"/>
        </w:rPr>
        <w:t>出行政处罚的内容及事实、理由、依据告知如下：</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马龙县正杰缘婚庆有限责任公司未按规定报送2021年度、2022年度报告，已列入经营异常名录（或黑名单），经税务部门复函上述内资公司被认定为非正常户或未办理税务登记，公示系统联系电话无法取得联系，实地检查未发现该批公司，存在不按规定年报，连续两年未从事经营活动（或开业后自行停业连续6个月以上未经营），也未向登记机关申请办理注销登记的违法行为。</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依据《企业信息公示暂行条例》第十八条 企业未按照本条例规定的期限公示年度报告或者未按照市场监督管理部门责令的期限公示有关企业信息的，由县级以上市场监督管理部门列入经营异常名录，并依法给予行政处罚。企业因连续2年未按规定报送年度报告被列入经营异常名录未改正，且通过登记的住所或者经营场所无法取得联系的，由县级以上市场监督管理部门吊销营业执照；《</w:t>
      </w:r>
      <w:r>
        <w:rPr>
          <w:rFonts w:hint="eastAsia" w:ascii="仿宋_GB2312" w:hAnsi="仿宋_GB2312" w:eastAsia="仿宋_GB2312" w:cs="仿宋_GB2312"/>
          <w:sz w:val="30"/>
          <w:szCs w:val="30"/>
          <w:u w:val="none"/>
          <w:lang w:eastAsia="zh-CN"/>
        </w:rPr>
        <w:t>中华人民共和国</w:t>
      </w:r>
      <w:r>
        <w:rPr>
          <w:rFonts w:hint="eastAsia" w:ascii="仿宋_GB2312" w:hAnsi="仿宋_GB2312" w:eastAsia="仿宋_GB2312" w:cs="仿宋_GB2312"/>
          <w:sz w:val="30"/>
          <w:szCs w:val="30"/>
          <w:u w:val="none"/>
        </w:rPr>
        <w:t xml:space="preserve">公司法》第二百一十一条“公司成立后无正当理由超过六个月未开业的，或者开业后自行停业连续六个月以上的，可以由公司登记机关吊销营业执照”的规定，马龙县正杰缘婚庆有限责任公司连续两个年度未依法报送年度报告且未进行纳税申报。并在登记住所(经营场所) 无法取得联系。涉嫌构成不按规定年报，无正当理由超过六个月未开业，或者开业后自行停业连续六个月以上的违法行为。拟给予吊销营业执照处罚。                                                                                                                                      </w:t>
      </w:r>
    </w:p>
    <w:p>
      <w:pPr>
        <w:spacing w:before="105" w:line="288" w:lineRule="auto"/>
        <w:ind w:left="32" w:right="16" w:firstLine="674"/>
        <w:rPr>
          <w:rFonts w:hint="eastAsia" w:ascii="仿宋_GB2312" w:hAnsi="仿宋_GB2312" w:eastAsia="仿宋_GB2312" w:cs="仿宋_GB2312"/>
          <w:sz w:val="30"/>
          <w:szCs w:val="30"/>
        </w:rPr>
      </w:pPr>
    </w:p>
    <w:p>
      <w:pPr>
        <w:spacing w:before="5" w:line="286" w:lineRule="auto"/>
        <w:ind w:right="16" w:firstLine="560" w:firstLineChars="200"/>
        <w:rPr>
          <w:rFonts w:hint="eastAsia" w:ascii="仿宋_GB2312" w:hAnsi="仿宋_GB2312" w:eastAsia="仿宋_GB2312" w:cs="仿宋_GB2312"/>
          <w:spacing w:val="-1"/>
          <w:sz w:val="30"/>
          <w:szCs w:val="30"/>
          <w:lang w:eastAsia="zh-CN"/>
        </w:rPr>
      </w:pPr>
      <w:r>
        <w:rPr>
          <w:rFonts w:hint="eastAsia" w:ascii="仿宋_GB2312" w:hAnsi="仿宋_GB2312" w:eastAsia="仿宋_GB2312" w:cs="仿宋_GB2312"/>
          <w:spacing w:val="-10"/>
          <w:sz w:val="30"/>
          <w:szCs w:val="30"/>
        </w:rPr>
        <w:t>依据《中华人民共和国行政处罚法》</w:t>
      </w:r>
      <w:r>
        <w:rPr>
          <w:rFonts w:hint="eastAsia" w:ascii="仿宋_GB2312" w:hAnsi="仿宋_GB2312" w:eastAsia="仿宋_GB2312" w:cs="仿宋_GB2312"/>
          <w:spacing w:val="10"/>
          <w:sz w:val="30"/>
          <w:szCs w:val="30"/>
        </w:rPr>
        <w:t xml:space="preserve"> </w:t>
      </w:r>
      <w:r>
        <w:rPr>
          <w:rFonts w:hint="eastAsia" w:ascii="仿宋_GB2312" w:hAnsi="仿宋_GB2312" w:eastAsia="仿宋_GB2312" w:cs="仿宋_GB2312"/>
          <w:spacing w:val="-10"/>
          <w:sz w:val="30"/>
          <w:szCs w:val="30"/>
        </w:rPr>
        <w:t>第四十四条、第</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2"/>
          <w:sz w:val="30"/>
          <w:szCs w:val="30"/>
        </w:rPr>
        <w:t>四十五条、第六十三条、第六十四条第一项，以及《市场监</w:t>
      </w:r>
      <w:r>
        <w:rPr>
          <w:rFonts w:hint="eastAsia" w:ascii="仿宋_GB2312" w:hAnsi="仿宋_GB2312" w:eastAsia="仿宋_GB2312" w:cs="仿宋_GB2312"/>
          <w:spacing w:val="-8"/>
          <w:w w:val="99"/>
          <w:sz w:val="30"/>
          <w:szCs w:val="30"/>
        </w:rPr>
        <w:t>督管理行政处罚听证办法》第五条的</w:t>
      </w:r>
      <w:r>
        <w:rPr>
          <w:rFonts w:hint="eastAsia" w:ascii="仿宋_GB2312" w:hAnsi="仿宋_GB2312" w:eastAsia="仿宋_GB2312" w:cs="仿宋_GB2312"/>
          <w:spacing w:val="-10"/>
          <w:sz w:val="30"/>
          <w:szCs w:val="30"/>
        </w:rPr>
        <w:t>规定，你（单位）有权进行陈述、</w:t>
      </w:r>
      <w:r>
        <w:rPr>
          <w:rFonts w:hint="eastAsia" w:ascii="仿宋_GB2312" w:hAnsi="仿宋_GB2312" w:eastAsia="仿宋_GB2312" w:cs="仿宋_GB2312"/>
          <w:spacing w:val="-93"/>
          <w:sz w:val="30"/>
          <w:szCs w:val="30"/>
        </w:rPr>
        <w:t xml:space="preserve"> </w:t>
      </w:r>
      <w:r>
        <w:rPr>
          <w:rFonts w:hint="eastAsia" w:ascii="仿宋_GB2312" w:hAnsi="仿宋_GB2312" w:eastAsia="仿宋_GB2312" w:cs="仿宋_GB2312"/>
          <w:spacing w:val="-10"/>
          <w:sz w:val="30"/>
          <w:szCs w:val="30"/>
        </w:rPr>
        <w:t>申辩，并可以要求听证。</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4"/>
          <w:sz w:val="30"/>
          <w:szCs w:val="30"/>
        </w:rPr>
        <w:t>自收到本告知书之日起五个工作日内未行使陈述、</w:t>
      </w:r>
      <w:r>
        <w:rPr>
          <w:rFonts w:hint="eastAsia" w:ascii="仿宋_GB2312" w:hAnsi="仿宋_GB2312" w:eastAsia="仿宋_GB2312" w:cs="仿宋_GB2312"/>
          <w:spacing w:val="-88"/>
          <w:sz w:val="30"/>
          <w:szCs w:val="30"/>
        </w:rPr>
        <w:t xml:space="preserve"> </w:t>
      </w:r>
      <w:r>
        <w:rPr>
          <w:rFonts w:hint="eastAsia" w:ascii="仿宋_GB2312" w:hAnsi="仿宋_GB2312" w:eastAsia="仿宋_GB2312" w:cs="仿宋_GB2312"/>
          <w:spacing w:val="-4"/>
          <w:sz w:val="30"/>
          <w:szCs w:val="30"/>
        </w:rPr>
        <w:t>申辩权，</w:t>
      </w:r>
      <w:r>
        <w:rPr>
          <w:rFonts w:hint="eastAsia" w:ascii="仿宋_GB2312" w:hAnsi="仿宋_GB2312" w:eastAsia="仿宋_GB2312" w:cs="仿宋_GB2312"/>
          <w:spacing w:val="-1"/>
          <w:sz w:val="30"/>
          <w:szCs w:val="30"/>
        </w:rPr>
        <w:t>未要求听证的，视为放弃此权利</w:t>
      </w:r>
      <w:r>
        <w:rPr>
          <w:rFonts w:hint="eastAsia" w:ascii="仿宋_GB2312" w:hAnsi="仿宋_GB2312" w:eastAsia="仿宋_GB2312" w:cs="仿宋_GB2312"/>
          <w:spacing w:val="-1"/>
          <w:sz w:val="30"/>
          <w:szCs w:val="30"/>
          <w:lang w:eastAsia="zh-CN"/>
        </w:rPr>
        <w:t>。</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104" w:line="300" w:lineRule="auto"/>
        <w:ind w:right="220"/>
        <w:rPr>
          <w:rFonts w:hint="eastAsia" w:ascii="仿宋_GB2312" w:hAnsi="仿宋_GB2312" w:eastAsia="仿宋_GB2312" w:cs="仿宋_GB2312"/>
          <w:spacing w:val="11"/>
          <w:sz w:val="30"/>
          <w:szCs w:val="30"/>
        </w:rPr>
      </w:pPr>
      <w:r>
        <w:rPr>
          <w:rFonts w:hint="eastAsia" w:ascii="仿宋_GB2312" w:hAnsi="仿宋_GB2312" w:eastAsia="仿宋_GB2312" w:cs="仿宋_GB2312"/>
          <w:spacing w:val="-29"/>
          <w:w w:val="92"/>
          <w:sz w:val="30"/>
          <w:szCs w:val="30"/>
        </w:rPr>
        <w:t>联系人：</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5"/>
          <w:sz w:val="30"/>
          <w:szCs w:val="30"/>
          <w:u w:val="single"/>
          <w:lang w:eastAsia="zh-CN"/>
        </w:rPr>
        <w:t>王小富</w:t>
      </w:r>
      <w:r>
        <w:rPr>
          <w:rFonts w:hint="eastAsia" w:ascii="仿宋_GB2312" w:hAnsi="仿宋_GB2312" w:eastAsia="仿宋_GB2312" w:cs="仿宋_GB2312"/>
          <w:spacing w:val="5"/>
          <w:sz w:val="30"/>
          <w:szCs w:val="30"/>
          <w:u w:val="single"/>
          <w:lang w:val="en-US" w:eastAsia="zh-CN"/>
        </w:rPr>
        <w:t xml:space="preserve">   </w:t>
      </w:r>
      <w:r>
        <w:rPr>
          <w:rFonts w:hint="eastAsia" w:ascii="仿宋_GB2312" w:hAnsi="仿宋_GB2312" w:eastAsia="仿宋_GB2312" w:cs="仿宋_GB2312"/>
          <w:spacing w:val="5"/>
          <w:sz w:val="30"/>
          <w:szCs w:val="30"/>
          <w:u w:val="single"/>
          <w:lang w:eastAsia="zh-CN"/>
        </w:rPr>
        <w:t>赵文娟</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29"/>
          <w:w w:val="92"/>
          <w:sz w:val="30"/>
          <w:szCs w:val="30"/>
        </w:rPr>
        <w:t>联系电话：</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3"/>
          <w:sz w:val="30"/>
          <w:szCs w:val="30"/>
          <w:u w:val="single"/>
          <w:lang w:val="en-US" w:eastAsia="zh-CN"/>
        </w:rPr>
        <w:t>0874-8882286</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11"/>
          <w:sz w:val="30"/>
          <w:szCs w:val="30"/>
        </w:rPr>
        <w:t xml:space="preserve"> </w:t>
      </w:r>
    </w:p>
    <w:p>
      <w:pPr>
        <w:spacing w:before="104" w:line="300" w:lineRule="auto"/>
        <w:ind w:right="220"/>
        <w:rPr>
          <w:rFonts w:hint="eastAsia" w:ascii="仿宋_GB2312" w:hAnsi="仿宋_GB2312" w:eastAsia="仿宋_GB2312" w:cs="仿宋_GB2312"/>
          <w:sz w:val="30"/>
          <w:szCs w:val="30"/>
          <w:u w:val="single"/>
        </w:rPr>
      </w:pPr>
      <w:r>
        <w:rPr>
          <w:rFonts w:hint="eastAsia" w:ascii="仿宋_GB2312" w:hAnsi="仿宋_GB2312" w:eastAsia="仿宋_GB2312" w:cs="仿宋_GB2312"/>
          <w:spacing w:val="-30"/>
          <w:w w:val="94"/>
          <w:sz w:val="30"/>
          <w:szCs w:val="30"/>
        </w:rPr>
        <w:t>联系地址：</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eastAsia="zh-CN"/>
        </w:rPr>
        <w:t>曲靖市马龙区通泉街道龙翔路</w:t>
      </w:r>
      <w:r>
        <w:rPr>
          <w:rFonts w:hint="eastAsia" w:ascii="仿宋_GB2312" w:hAnsi="仿宋_GB2312" w:eastAsia="仿宋_GB2312" w:cs="仿宋_GB2312"/>
          <w:sz w:val="30"/>
          <w:szCs w:val="30"/>
          <w:u w:val="single"/>
          <w:lang w:val="en-US" w:eastAsia="zh-CN"/>
        </w:rPr>
        <w:t>371号</w:t>
      </w:r>
      <w:r>
        <w:rPr>
          <w:rFonts w:hint="eastAsia" w:ascii="仿宋_GB2312" w:hAnsi="仿宋_GB2312" w:eastAsia="仿宋_GB2312" w:cs="仿宋_GB2312"/>
          <w:sz w:val="30"/>
          <w:szCs w:val="30"/>
          <w:u w:val="single"/>
        </w:rPr>
        <w:t xml:space="preserve">            </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5" w:line="286" w:lineRule="auto"/>
        <w:ind w:right="16"/>
        <w:rPr>
          <w:rFonts w:hint="eastAsia" w:ascii="仿宋_GB2312" w:hAnsi="仿宋_GB2312" w:eastAsia="仿宋_GB2312" w:cs="仿宋_GB2312"/>
          <w:spacing w:val="-1"/>
          <w:sz w:val="30"/>
          <w:szCs w:val="30"/>
          <w:lang w:eastAsia="zh-CN"/>
        </w:rPr>
      </w:pPr>
    </w:p>
    <w:p>
      <w:pPr>
        <w:tabs>
          <w:tab w:val="left" w:pos="5850"/>
        </w:tabs>
        <w:spacing w:before="105" w:line="253" w:lineRule="auto"/>
        <w:ind w:left="2888" w:leftChars="1375" w:right="676"/>
        <w:rPr>
          <w:rFonts w:hint="eastAsia" w:ascii="仿宋_GB2312" w:hAnsi="仿宋_GB2312" w:eastAsia="仿宋_GB2312" w:cs="仿宋_GB2312"/>
          <w:spacing w:val="1"/>
          <w:sz w:val="30"/>
          <w:szCs w:val="30"/>
        </w:rPr>
      </w:pPr>
      <w:r>
        <w:rPr>
          <w:rFonts w:hint="eastAsia" w:ascii="仿宋_GB2312" w:hAnsi="仿宋_GB2312" w:eastAsia="仿宋_GB2312" w:cs="仿宋_GB2312"/>
          <w:spacing w:val="-4"/>
          <w:sz w:val="30"/>
          <w:szCs w:val="30"/>
          <w:u w:val="single"/>
        </w:rPr>
        <w:t>曲靖市马龙区</w:t>
      </w:r>
      <w:r>
        <w:rPr>
          <w:rFonts w:hint="eastAsia" w:ascii="仿宋_GB2312" w:hAnsi="仿宋_GB2312" w:eastAsia="仿宋_GB2312" w:cs="仿宋_GB2312"/>
          <w:spacing w:val="-4"/>
          <w:sz w:val="30"/>
          <w:szCs w:val="30"/>
        </w:rPr>
        <w:t>市场监督管理局</w:t>
      </w:r>
      <w:r>
        <w:rPr>
          <w:rFonts w:hint="eastAsia" w:ascii="仿宋_GB2312" w:hAnsi="仿宋_GB2312" w:eastAsia="仿宋_GB2312" w:cs="仿宋_GB2312"/>
          <w:spacing w:val="1"/>
          <w:sz w:val="30"/>
          <w:szCs w:val="30"/>
        </w:rPr>
        <w:t xml:space="preserve"> </w:t>
      </w:r>
    </w:p>
    <w:p>
      <w:pPr>
        <w:spacing w:before="242" w:line="183" w:lineRule="auto"/>
        <w:ind w:firstLine="3886" w:firstLineChars="1450"/>
        <w:rPr>
          <w:rFonts w:hint="default" w:ascii="仿宋_GB2312" w:hAnsi="仿宋_GB2312" w:eastAsia="仿宋_GB2312" w:cs="仿宋_GB2312"/>
          <w:spacing w:val="-16"/>
          <w:sz w:val="30"/>
          <w:szCs w:val="30"/>
          <w:lang w:val="en-US" w:eastAsia="zh-CN"/>
        </w:rPr>
      </w:pPr>
      <w:r>
        <w:rPr>
          <w:rFonts w:hint="eastAsia" w:ascii="仿宋_GB2312" w:hAnsi="仿宋_GB2312" w:eastAsia="仿宋_GB2312" w:cs="仿宋_GB2312"/>
          <w:spacing w:val="-16"/>
          <w:sz w:val="30"/>
          <w:szCs w:val="30"/>
          <w:lang w:val="en-US" w:eastAsia="zh-CN"/>
        </w:rPr>
        <w:t xml:space="preserve">2024 年  8 </w:t>
      </w:r>
      <w:r>
        <w:rPr>
          <w:rFonts w:hint="eastAsia" w:ascii="仿宋_GB2312" w:hAnsi="仿宋_GB2312" w:eastAsia="仿宋_GB2312" w:cs="仿宋_GB2312"/>
          <w:spacing w:val="-16"/>
          <w:sz w:val="30"/>
          <w:szCs w:val="30"/>
        </w:rPr>
        <w:t>月</w:t>
      </w:r>
      <w:r>
        <w:rPr>
          <w:rFonts w:hint="eastAsia" w:ascii="仿宋_GB2312" w:hAnsi="仿宋_GB2312" w:eastAsia="仿宋_GB2312" w:cs="仿宋_GB2312"/>
          <w:spacing w:val="-16"/>
          <w:sz w:val="30"/>
          <w:szCs w:val="30"/>
          <w:lang w:val="en-US" w:eastAsia="zh-CN"/>
        </w:rPr>
        <w:t xml:space="preserve">  9 日</w:t>
      </w:r>
    </w:p>
    <w:p>
      <w:pPr>
        <w:spacing w:line="249" w:lineRule="auto"/>
        <w:rPr>
          <w:rFonts w:hint="eastAsia" w:ascii="仿宋_GB2312" w:hAnsi="仿宋_GB2312" w:eastAsia="仿宋_GB2312" w:cs="仿宋_GB2312"/>
          <w:sz w:val="30"/>
          <w:szCs w:val="30"/>
        </w:rPr>
      </w:pPr>
    </w:p>
    <w:p>
      <w:pPr>
        <w:spacing w:before="1" w:line="26" w:lineRule="exact"/>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drawing>
          <wp:inline distT="0" distB="0" distL="114300" distR="114300">
            <wp:extent cx="5509260" cy="15240"/>
            <wp:effectExtent l="0" t="0" r="0" b="0"/>
            <wp:docPr id="277"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4"/>
                    <pic:cNvPicPr>
                      <a:picLocks noChangeAspect="1"/>
                    </pic:cNvPicPr>
                  </pic:nvPicPr>
                  <pic:blipFill>
                    <a:blip r:embed="rId6"/>
                    <a:stretch>
                      <a:fillRect/>
                    </a:stretch>
                  </pic:blipFill>
                  <pic:spPr>
                    <a:xfrm>
                      <a:off x="0" y="0"/>
                      <a:ext cx="5509260" cy="15240"/>
                    </a:xfrm>
                    <a:prstGeom prst="rect">
                      <a:avLst/>
                    </a:prstGeom>
                    <a:noFill/>
                    <a:ln>
                      <a:noFill/>
                    </a:ln>
                  </pic:spPr>
                </pic:pic>
              </a:graphicData>
            </a:graphic>
          </wp:inline>
        </w:drawing>
      </w:r>
    </w:p>
    <w:p>
      <w:pPr>
        <w:rPr>
          <w:rFonts w:hint="eastAsia" w:ascii="仿宋_GB2312" w:hAnsi="仿宋_GB2312" w:eastAsia="仿宋_GB2312" w:cs="仿宋_GB2312"/>
          <w:spacing w:val="-16"/>
          <w:sz w:val="30"/>
          <w:szCs w:val="30"/>
          <w:lang w:val="en-US" w:eastAsia="zh-CN"/>
        </w:rPr>
        <w:sectPr>
          <w:headerReference r:id="rId3" w:type="default"/>
          <w:footerReference r:id="rId4" w:type="default"/>
          <w:pgSz w:w="11906" w:h="16839"/>
          <w:pgMar w:top="1440" w:right="1800" w:bottom="1440" w:left="1800" w:header="0" w:footer="929" w:gutter="0"/>
          <w:cols w:space="720" w:num="1"/>
        </w:sectPr>
      </w:pPr>
      <w:r>
        <w:rPr>
          <w:rFonts w:hint="eastAsia" w:ascii="仿宋_GB2312" w:hAnsi="仿宋_GB2312" w:eastAsia="仿宋_GB2312" w:cs="仿宋_GB2312"/>
          <w:spacing w:val="-10"/>
          <w:sz w:val="30"/>
          <w:szCs w:val="30"/>
        </w:rPr>
        <w:t>本文书一式</w:t>
      </w:r>
      <w:r>
        <w:rPr>
          <w:rFonts w:hint="eastAsia" w:ascii="仿宋_GB2312" w:hAnsi="仿宋_GB2312" w:eastAsia="仿宋_GB2312" w:cs="仿宋_GB2312"/>
          <w:spacing w:val="6"/>
          <w:sz w:val="30"/>
          <w:szCs w:val="30"/>
          <w:u w:val="single"/>
        </w:rPr>
        <w:t>三</w:t>
      </w:r>
      <w:r>
        <w:rPr>
          <w:rFonts w:hint="eastAsia" w:ascii="仿宋_GB2312" w:hAnsi="仿宋_GB2312" w:eastAsia="仿宋_GB2312" w:cs="仿宋_GB2312"/>
          <w:spacing w:val="-10"/>
          <w:sz w:val="30"/>
          <w:szCs w:val="30"/>
        </w:rPr>
        <w:t>份，</w:t>
      </w:r>
      <w:r>
        <w:rPr>
          <w:rFonts w:hint="eastAsia" w:ascii="仿宋_GB2312" w:hAnsi="仿宋_GB2312" w:eastAsia="仿宋_GB2312" w:cs="仿宋_GB2312"/>
          <w:spacing w:val="20"/>
          <w:sz w:val="30"/>
          <w:szCs w:val="30"/>
          <w:u w:val="single"/>
        </w:rPr>
        <w:t>一</w:t>
      </w:r>
      <w:r>
        <w:rPr>
          <w:rFonts w:hint="eastAsia" w:ascii="仿宋_GB2312" w:hAnsi="仿宋_GB2312" w:eastAsia="仿宋_GB2312" w:cs="仿宋_GB2312"/>
          <w:spacing w:val="-10"/>
          <w:sz w:val="30"/>
          <w:szCs w:val="30"/>
        </w:rPr>
        <w:t>份送达，一份归档，</w:t>
      </w:r>
      <w:r>
        <w:rPr>
          <w:rFonts w:hint="eastAsia" w:ascii="仿宋_GB2312" w:hAnsi="仿宋_GB2312" w:eastAsia="仿宋_GB2312" w:cs="仿宋_GB2312"/>
          <w:spacing w:val="-10"/>
          <w:sz w:val="30"/>
          <w:szCs w:val="30"/>
          <w:u w:val="single"/>
        </w:rPr>
        <w:t>一份办案机构留存</w:t>
      </w:r>
      <w:r>
        <w:rPr>
          <w:rFonts w:hint="eastAsia" w:ascii="仿宋_GB2312" w:hAnsi="仿宋_GB2312" w:eastAsia="仿宋_GB2312" w:cs="仿宋_GB2312"/>
          <w:spacing w:val="-10"/>
          <w:sz w:val="30"/>
          <w:szCs w:val="30"/>
        </w:rPr>
        <w:t>。</w:t>
      </w:r>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Microsoft JhengHei">
    <w:panose1 w:val="020B0604030504040204"/>
    <w:charset w:val="88"/>
    <w:family w:val="swiss"/>
    <w:pitch w:val="default"/>
    <w:sig w:usb0="00000087" w:usb1="28AF4000" w:usb2="00000016" w:usb3="00000000" w:csb0="00100009"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exact"/>
      <w:ind w:firstLine="16"/>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D8F"/>
    <w:rsid w:val="000F4D82"/>
    <w:rsid w:val="001D1E9E"/>
    <w:rsid w:val="00401D8F"/>
    <w:rsid w:val="00590A05"/>
    <w:rsid w:val="00762822"/>
    <w:rsid w:val="03662B52"/>
    <w:rsid w:val="053B4F03"/>
    <w:rsid w:val="1D8C74A3"/>
    <w:rsid w:val="22CA474C"/>
    <w:rsid w:val="2C0B562F"/>
    <w:rsid w:val="2CDE068C"/>
    <w:rsid w:val="2DC56ABA"/>
    <w:rsid w:val="350C5A3D"/>
    <w:rsid w:val="39BF30BB"/>
    <w:rsid w:val="40BC47DA"/>
    <w:rsid w:val="4645355A"/>
    <w:rsid w:val="4F5333B9"/>
    <w:rsid w:val="54022A8A"/>
    <w:rsid w:val="61F325E8"/>
    <w:rsid w:val="65966767"/>
    <w:rsid w:val="6CD92A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color w:val="000000"/>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pPr>
    <w:rPr>
      <w:sz w:val="18"/>
      <w:szCs w:val="18"/>
    </w:rPr>
  </w:style>
  <w:style w:type="paragraph" w:styleId="4">
    <w:name w:val="header"/>
    <w:basedOn w:val="1"/>
    <w:link w:val="7"/>
    <w:qFormat/>
    <w:uiPriority w:val="0"/>
    <w:pPr>
      <w:pBdr>
        <w:bottom w:val="single" w:color="auto" w:sz="6" w:space="1"/>
      </w:pBdr>
      <w:tabs>
        <w:tab w:val="center" w:pos="4153"/>
        <w:tab w:val="right" w:pos="8306"/>
      </w:tabs>
      <w:jc w:val="center"/>
    </w:pPr>
    <w:rPr>
      <w:sz w:val="18"/>
      <w:szCs w:val="18"/>
    </w:rPr>
  </w:style>
  <w:style w:type="character" w:customStyle="1" w:styleId="7">
    <w:name w:val="页眉 Char"/>
    <w:basedOn w:val="6"/>
    <w:link w:val="4"/>
    <w:qFormat/>
    <w:uiPriority w:val="0"/>
    <w:rPr>
      <w:rFonts w:eastAsia="Arial"/>
      <w:color w:val="000000"/>
      <w:sz w:val="18"/>
      <w:szCs w:val="18"/>
    </w:rPr>
  </w:style>
  <w:style w:type="character" w:customStyle="1" w:styleId="8">
    <w:name w:val="页脚 Char"/>
    <w:basedOn w:val="6"/>
    <w:link w:val="3"/>
    <w:qFormat/>
    <w:uiPriority w:val="0"/>
    <w:rPr>
      <w:rFonts w:eastAsia="Arial"/>
      <w:color w:val="000000"/>
      <w:sz w:val="18"/>
      <w:szCs w:val="18"/>
    </w:rPr>
  </w:style>
  <w:style w:type="character" w:customStyle="1" w:styleId="9">
    <w:name w:val="批注框文本 Char"/>
    <w:basedOn w:val="6"/>
    <w:link w:val="2"/>
    <w:qFormat/>
    <w:uiPriority w:val="0"/>
    <w:rPr>
      <w:rFonts w:eastAsia="Arial"/>
      <w:color w:val="00000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137</Words>
  <Characters>784</Characters>
  <Lines>6</Lines>
  <Paragraphs>1</Paragraphs>
  <TotalTime>0</TotalTime>
  <ScaleCrop>false</ScaleCrop>
  <LinksUpToDate>false</LinksUpToDate>
  <CharactersWithSpaces>920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2024-05-27T09:36:00Z</cp:lastPrinted>
  <dcterms:modified xsi:type="dcterms:W3CDTF">2024-08-09T01:30:39Z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EA5CE9DC80E549CA8FA36E957BEE723E</vt:lpwstr>
  </property>
</Properties>
</file>