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440" w:firstLineChars="10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w:t>
      </w:r>
      <w:r>
        <w:rPr>
          <w:rFonts w:hint="eastAsia" w:ascii="方正小标宋_GBK" w:hAnsi="方正小标宋_GBK" w:eastAsia="方正小标宋_GBK" w:cs="方正小标宋_GBK"/>
          <w:sz w:val="44"/>
          <w:szCs w:val="44"/>
          <w:lang w:val="en-US" w:eastAsia="zh-CN"/>
        </w:rPr>
        <w:t>21</w:t>
      </w:r>
      <w:r>
        <w:rPr>
          <w:rFonts w:hint="eastAsia" w:ascii="方正小标宋_GBK" w:hAnsi="方正小标宋_GBK" w:eastAsia="方正小标宋_GBK" w:cs="方正小标宋_GBK"/>
          <w:sz w:val="44"/>
          <w:szCs w:val="44"/>
        </w:rPr>
        <w:t>年云南省曲靖市马龙区“三公”经费决算情况说明</w:t>
      </w:r>
    </w:p>
    <w:p>
      <w:pPr>
        <w:spacing w:line="600" w:lineRule="exact"/>
        <w:ind w:firstLine="600" w:firstLineChars="200"/>
        <w:rPr>
          <w:rFonts w:ascii="Times New Roman" w:hAnsi="Times New Roman" w:eastAsia="仿宋_GB2312"/>
          <w:sz w:val="30"/>
          <w:szCs w:val="30"/>
        </w:rPr>
      </w:pPr>
    </w:p>
    <w:p>
      <w:pPr>
        <w:spacing w:line="54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国务院关于推进政府预算信息公开的决策部署和曲靖市马龙区政府工作安排，经曲靖市马龙区财政局汇总，曲靖市马龙区人民政府审定，现将曲靖市马龙区（包括本级/全县行政单位、事业单位以及其他使用一般公共预算财政拨款安排“三公”经费单位），</w:t>
      </w:r>
      <w:r>
        <w:rPr>
          <w:rFonts w:hint="default" w:ascii="Times New Roman" w:hAnsi="Times New Roman" w:eastAsia="方正仿宋_GBK" w:cs="Times New Roman"/>
          <w:sz w:val="32"/>
          <w:szCs w:val="32"/>
          <w:lang w:val="en-US" w:eastAsia="zh-CN"/>
        </w:rPr>
        <w:t>2021</w:t>
      </w:r>
      <w:r>
        <w:rPr>
          <w:rFonts w:hint="default" w:ascii="Times New Roman" w:hAnsi="Times New Roman" w:eastAsia="方正仿宋_GBK" w:cs="Times New Roman"/>
          <w:sz w:val="32"/>
          <w:szCs w:val="32"/>
        </w:rPr>
        <w:t>年“三公”经费决算情况公开如下：</w:t>
      </w:r>
    </w:p>
    <w:p>
      <w:pPr>
        <w:spacing w:line="540" w:lineRule="exact"/>
        <w:ind w:firstLine="640" w:firstLineChars="20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2021</w:t>
      </w:r>
      <w:r>
        <w:rPr>
          <w:rFonts w:hint="default" w:ascii="Times New Roman" w:hAnsi="Times New Roman" w:eastAsia="方正仿宋_GBK" w:cs="Times New Roman"/>
          <w:color w:val="000000" w:themeColor="text1"/>
          <w:sz w:val="32"/>
          <w:szCs w:val="32"/>
          <w14:textFill>
            <w14:solidFill>
              <w14:schemeClr w14:val="tx1"/>
            </w14:solidFill>
          </w14:textFill>
        </w:rPr>
        <w:t>年曲靖市马龙区一般公共预算财政拨款“三公”经费支出决算汇总数为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897.64</w:t>
      </w:r>
      <w:r>
        <w:rPr>
          <w:rFonts w:hint="default" w:ascii="Times New Roman" w:hAnsi="Times New Roman" w:eastAsia="方正仿宋_GBK" w:cs="Times New Roman"/>
          <w:color w:val="000000" w:themeColor="text1"/>
          <w:sz w:val="32"/>
          <w:szCs w:val="32"/>
          <w14:textFill>
            <w14:solidFill>
              <w14:schemeClr w14:val="tx1"/>
            </w14:solidFill>
          </w14:textFill>
        </w:rPr>
        <w:t>万元，较上年</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减少50.64</w:t>
      </w:r>
      <w:r>
        <w:rPr>
          <w:rFonts w:hint="default" w:ascii="Times New Roman" w:hAnsi="Times New Roman" w:eastAsia="方正仿宋_GBK" w:cs="Times New Roman"/>
          <w:color w:val="000000" w:themeColor="text1"/>
          <w:sz w:val="32"/>
          <w:szCs w:val="32"/>
          <w14:textFill>
            <w14:solidFill>
              <w14:schemeClr w14:val="tx1"/>
            </w14:solidFill>
          </w14:textFill>
        </w:rPr>
        <w:t>万元，</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降低5.34</w:t>
      </w:r>
      <w:r>
        <w:rPr>
          <w:rFonts w:hint="default" w:ascii="Times New Roman" w:hAnsi="Times New Roman" w:eastAsia="方正仿宋_GBK" w:cs="Times New Roman"/>
          <w:color w:val="000000" w:themeColor="text1"/>
          <w:sz w:val="32"/>
          <w:szCs w:val="32"/>
          <w14:textFill>
            <w14:solidFill>
              <w14:schemeClr w14:val="tx1"/>
            </w14:solidFill>
          </w14:textFill>
        </w:rPr>
        <w:t>%。其中：因公出国（境）费为0万元，与上年一致，共计安排因公出国（境）团组0个，因公出国（境）0人次。公务接待费为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466.21</w:t>
      </w:r>
      <w:r>
        <w:rPr>
          <w:rFonts w:hint="default" w:ascii="Times New Roman" w:hAnsi="Times New Roman" w:eastAsia="方正仿宋_GBK" w:cs="Times New Roman"/>
          <w:color w:val="000000" w:themeColor="text1"/>
          <w:sz w:val="32"/>
          <w:szCs w:val="32"/>
          <w14:textFill>
            <w14:solidFill>
              <w14:schemeClr w14:val="tx1"/>
            </w14:solidFill>
          </w14:textFill>
        </w:rPr>
        <w:t>万元，较上年</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减少47.98</w:t>
      </w:r>
      <w:r>
        <w:rPr>
          <w:rFonts w:hint="default" w:ascii="Times New Roman" w:hAnsi="Times New Roman" w:eastAsia="方正仿宋_GBK" w:cs="Times New Roman"/>
          <w:color w:val="000000" w:themeColor="text1"/>
          <w:sz w:val="32"/>
          <w:szCs w:val="32"/>
          <w14:textFill>
            <w14:solidFill>
              <w14:schemeClr w14:val="tx1"/>
            </w14:solidFill>
          </w14:textFill>
        </w:rPr>
        <w:t>万元，下降</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9.33</w:t>
      </w:r>
      <w:r>
        <w:rPr>
          <w:rFonts w:hint="default" w:ascii="Times New Roman" w:hAnsi="Times New Roman" w:eastAsia="方正仿宋_GBK" w:cs="Times New Roman"/>
          <w:color w:val="000000" w:themeColor="text1"/>
          <w:sz w:val="32"/>
          <w:szCs w:val="32"/>
          <w14:textFill>
            <w14:solidFill>
              <w14:schemeClr w14:val="tx1"/>
            </w14:solidFill>
          </w14:textFill>
        </w:rPr>
        <w:t>%，国内公务接待批次为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8505</w:t>
      </w:r>
      <w:r>
        <w:rPr>
          <w:rFonts w:hint="default" w:ascii="Times New Roman" w:hAnsi="Times New Roman" w:eastAsia="方正仿宋_GBK" w:cs="Times New Roman"/>
          <w:color w:val="000000" w:themeColor="text1"/>
          <w:sz w:val="32"/>
          <w:szCs w:val="32"/>
          <w14:textFill>
            <w14:solidFill>
              <w14:schemeClr w14:val="tx1"/>
            </w14:solidFill>
          </w14:textFill>
        </w:rPr>
        <w:t>次，共计接待</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91197</w:t>
      </w:r>
      <w:r>
        <w:rPr>
          <w:rFonts w:hint="default" w:ascii="Times New Roman" w:hAnsi="Times New Roman" w:eastAsia="方正仿宋_GBK" w:cs="Times New Roman"/>
          <w:color w:val="000000" w:themeColor="text1"/>
          <w:sz w:val="32"/>
          <w:szCs w:val="32"/>
          <w14:textFill>
            <w14:solidFill>
              <w14:schemeClr w14:val="tx1"/>
            </w14:solidFill>
          </w14:textFill>
        </w:rPr>
        <w:t>人次。公务用车购置及运行维护费为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431.43</w:t>
      </w:r>
      <w:r>
        <w:rPr>
          <w:rFonts w:hint="default" w:ascii="Times New Roman" w:hAnsi="Times New Roman" w:eastAsia="方正仿宋_GBK" w:cs="Times New Roman"/>
          <w:color w:val="000000" w:themeColor="text1"/>
          <w:sz w:val="32"/>
          <w:szCs w:val="32"/>
          <w14:textFill>
            <w14:solidFill>
              <w14:schemeClr w14:val="tx1"/>
            </w14:solidFill>
          </w14:textFill>
        </w:rPr>
        <w:t>万元，较上年</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减少2.66</w:t>
      </w:r>
      <w:r>
        <w:rPr>
          <w:rFonts w:hint="default" w:ascii="Times New Roman" w:hAnsi="Times New Roman" w:eastAsia="方正仿宋_GBK" w:cs="Times New Roman"/>
          <w:color w:val="000000" w:themeColor="text1"/>
          <w:sz w:val="32"/>
          <w:szCs w:val="32"/>
          <w14:textFill>
            <w14:solidFill>
              <w14:schemeClr w14:val="tx1"/>
            </w14:solidFill>
          </w14:textFill>
        </w:rPr>
        <w:t>万元，</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降低0.61%</w:t>
      </w:r>
      <w:r>
        <w:rPr>
          <w:rFonts w:hint="default" w:ascii="Times New Roman" w:hAnsi="Times New Roman" w:eastAsia="方正仿宋_GBK" w:cs="Times New Roman"/>
          <w:color w:val="000000" w:themeColor="text1"/>
          <w:sz w:val="32"/>
          <w:szCs w:val="32"/>
          <w14:textFill>
            <w14:solidFill>
              <w14:schemeClr w14:val="tx1"/>
            </w14:solidFill>
          </w14:textFill>
        </w:rPr>
        <w:t>（其中：公务用车购置费</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39.71</w:t>
      </w:r>
      <w:r>
        <w:rPr>
          <w:rFonts w:hint="default" w:ascii="Times New Roman" w:hAnsi="Times New Roman" w:eastAsia="方正仿宋_GBK" w:cs="Times New Roman"/>
          <w:color w:val="000000" w:themeColor="text1"/>
          <w:sz w:val="32"/>
          <w:szCs w:val="32"/>
          <w14:textFill>
            <w14:solidFill>
              <w14:schemeClr w14:val="tx1"/>
            </w14:solidFill>
          </w14:textFill>
        </w:rPr>
        <w:t>万元，</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较上年增加14.73万元，增长58.97%</w:t>
      </w:r>
      <w:r>
        <w:rPr>
          <w:rFonts w:hint="default" w:ascii="Times New Roman" w:hAnsi="Times New Roman" w:eastAsia="方正仿宋_GBK" w:cs="Times New Roman"/>
          <w:color w:val="000000" w:themeColor="text1"/>
          <w:sz w:val="32"/>
          <w:szCs w:val="32"/>
          <w14:textFill>
            <w14:solidFill>
              <w14:schemeClr w14:val="tx1"/>
            </w14:solidFill>
          </w14:textFill>
        </w:rPr>
        <w:t>；公务用车运行维护费</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391.72</w:t>
      </w:r>
      <w:r>
        <w:rPr>
          <w:rFonts w:hint="default" w:ascii="Times New Roman" w:hAnsi="Times New Roman" w:eastAsia="方正仿宋_GBK" w:cs="Times New Roman"/>
          <w:color w:val="000000" w:themeColor="text1"/>
          <w:sz w:val="32"/>
          <w:szCs w:val="32"/>
          <w14:textFill>
            <w14:solidFill>
              <w14:schemeClr w14:val="tx1"/>
            </w14:solidFill>
          </w14:textFill>
        </w:rPr>
        <w:t>万元，较上年</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减少17.39</w:t>
      </w:r>
      <w:r>
        <w:rPr>
          <w:rFonts w:hint="default" w:ascii="Times New Roman" w:hAnsi="Times New Roman" w:eastAsia="方正仿宋_GBK" w:cs="Times New Roman"/>
          <w:color w:val="000000" w:themeColor="text1"/>
          <w:sz w:val="32"/>
          <w:szCs w:val="32"/>
          <w14:textFill>
            <w14:solidFill>
              <w14:schemeClr w14:val="tx1"/>
            </w14:solidFill>
          </w14:textFill>
        </w:rPr>
        <w:t>万元，</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降低4.25</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。共计购置公务用车</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辆，年末公务用车保有量为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191</w:t>
      </w:r>
      <w:r>
        <w:rPr>
          <w:rFonts w:hint="default" w:ascii="Times New Roman" w:hAnsi="Times New Roman" w:eastAsia="方正仿宋_GBK" w:cs="Times New Roman"/>
          <w:color w:val="000000" w:themeColor="text1"/>
          <w:sz w:val="32"/>
          <w:szCs w:val="32"/>
          <w14:textFill>
            <w14:solidFill>
              <w14:schemeClr w14:val="tx1"/>
            </w14:solidFill>
          </w14:textFill>
        </w:rPr>
        <w:t>辆。</w:t>
      </w:r>
    </w:p>
    <w:p>
      <w:pPr>
        <w:spacing w:line="540" w:lineRule="exact"/>
        <w:ind w:firstLine="640" w:firstLineChars="200"/>
        <w:jc w:val="both"/>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p>
      <w:pPr>
        <w:spacing w:line="540" w:lineRule="exact"/>
        <w:ind w:firstLine="640" w:firstLineChars="20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附件：1</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云南省曲靖市马龙区20</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21</w:t>
      </w:r>
      <w:r>
        <w:rPr>
          <w:rFonts w:hint="default" w:ascii="Times New Roman" w:hAnsi="Times New Roman" w:eastAsia="方正仿宋_GBK" w:cs="Times New Roman"/>
          <w:color w:val="000000" w:themeColor="text1"/>
          <w:sz w:val="32"/>
          <w:szCs w:val="32"/>
          <w14:textFill>
            <w14:solidFill>
              <w14:schemeClr w14:val="tx1"/>
            </w14:solidFill>
          </w14:textFill>
        </w:rPr>
        <w:t>年“三公”经费决算数</w:t>
      </w:r>
    </w:p>
    <w:p>
      <w:pPr>
        <w:spacing w:line="540" w:lineRule="exact"/>
        <w:ind w:firstLine="1920" w:firstLineChars="60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对比情况表</w:t>
      </w:r>
    </w:p>
    <w:p>
      <w:pPr>
        <w:numPr>
          <w:ilvl w:val="0"/>
          <w:numId w:val="0"/>
        </w:numPr>
        <w:spacing w:line="540" w:lineRule="exact"/>
        <w:ind w:firstLine="1600" w:firstLineChars="500"/>
        <w:jc w:val="both"/>
        <w:rPr>
          <w:rFonts w:hint="default" w:ascii="Times New Roman" w:hAnsi="Times New Roman" w:eastAsia="方正仿宋_GBK" w:cs="Times New Roman"/>
          <w:bCs/>
          <w:sz w:val="32"/>
          <w:szCs w:val="32"/>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2. </w:t>
      </w:r>
      <w:r>
        <w:rPr>
          <w:rFonts w:hint="default" w:ascii="Times New Roman" w:hAnsi="Times New Roman" w:eastAsia="方正仿宋_GBK" w:cs="Times New Roman"/>
          <w:color w:val="000000" w:themeColor="text1"/>
          <w:sz w:val="32"/>
          <w:szCs w:val="32"/>
          <w14:textFill>
            <w14:solidFill>
              <w14:schemeClr w14:val="tx1"/>
            </w14:solidFill>
          </w14:textFill>
        </w:rPr>
        <w:t>“三公”经费口径说明</w:t>
      </w:r>
    </w:p>
    <w:p>
      <w:pPr>
        <w:spacing w:line="540" w:lineRule="exact"/>
        <w:ind w:firstLine="640" w:firstLineChars="200"/>
        <w:jc w:val="both"/>
        <w:rPr>
          <w:rFonts w:hint="eastAsia" w:ascii="黑体" w:hAnsi="黑体" w:eastAsia="黑体" w:cs="黑体"/>
          <w:bCs/>
          <w:sz w:val="32"/>
          <w:szCs w:val="32"/>
        </w:rPr>
      </w:pPr>
    </w:p>
    <w:p>
      <w:pPr>
        <w:spacing w:line="540" w:lineRule="exact"/>
        <w:ind w:firstLine="640" w:firstLineChars="200"/>
        <w:jc w:val="both"/>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p>
    <w:p>
      <w:pPr>
        <w:jc w:val="left"/>
        <w:rPr>
          <w:rFonts w:hint="eastAsia" w:ascii="方正黑体_GBK" w:hAnsi="方正黑体_GBK" w:eastAsia="方正黑体_GBK" w:cs="方正黑体_GBK"/>
          <w:bCs/>
          <w:sz w:val="32"/>
          <w:szCs w:val="32"/>
          <w:lang w:val="en-US" w:eastAsia="zh-CN"/>
        </w:rPr>
      </w:pPr>
      <w:r>
        <w:rPr>
          <w:rFonts w:hint="eastAsia" w:ascii="方正黑体_GBK" w:hAnsi="方正黑体_GBK" w:eastAsia="方正黑体_GBK" w:cs="方正黑体_GBK"/>
          <w:bCs/>
          <w:sz w:val="32"/>
          <w:szCs w:val="32"/>
          <w:lang w:val="en-US" w:eastAsia="zh-CN"/>
        </w:rPr>
        <w:t>附件1</w:t>
      </w:r>
    </w:p>
    <w:p>
      <w:pPr>
        <w:spacing w:line="540" w:lineRule="exact"/>
        <w:ind w:firstLine="640" w:firstLineChars="200"/>
        <w:jc w:val="both"/>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p>
    <w:p>
      <w:pPr>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20</w:t>
      </w:r>
      <w:r>
        <w:rPr>
          <w:rFonts w:hint="eastAsia" w:ascii="方正小标宋_GBK" w:hAnsi="方正小标宋_GBK" w:eastAsia="方正小标宋_GBK" w:cs="方正小标宋_GBK"/>
          <w:bCs/>
          <w:sz w:val="44"/>
          <w:szCs w:val="44"/>
          <w:lang w:val="en-US" w:eastAsia="zh-CN"/>
        </w:rPr>
        <w:t>21</w:t>
      </w:r>
      <w:r>
        <w:rPr>
          <w:rFonts w:hint="eastAsia" w:ascii="方正小标宋_GBK" w:hAnsi="方正小标宋_GBK" w:eastAsia="方正小标宋_GBK" w:cs="方正小标宋_GBK"/>
          <w:bCs/>
          <w:sz w:val="44"/>
          <w:szCs w:val="44"/>
        </w:rPr>
        <w:t>年云南省曲靖市马龙区“三公”经费</w:t>
      </w:r>
    </w:p>
    <w:p>
      <w:pPr>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决算数对比情况表</w:t>
      </w:r>
    </w:p>
    <w:tbl>
      <w:tblPr>
        <w:tblStyle w:val="4"/>
        <w:tblW w:w="8941" w:type="dxa"/>
        <w:jc w:val="center"/>
        <w:tblLayout w:type="fixed"/>
        <w:tblCellMar>
          <w:top w:w="0" w:type="dxa"/>
          <w:left w:w="108" w:type="dxa"/>
          <w:bottom w:w="0" w:type="dxa"/>
          <w:right w:w="108" w:type="dxa"/>
        </w:tblCellMar>
      </w:tblPr>
      <w:tblGrid>
        <w:gridCol w:w="3822"/>
        <w:gridCol w:w="984"/>
        <w:gridCol w:w="1320"/>
        <w:gridCol w:w="1320"/>
        <w:gridCol w:w="1495"/>
      </w:tblGrid>
      <w:tr>
        <w:tblPrEx>
          <w:tblCellMar>
            <w:top w:w="0" w:type="dxa"/>
            <w:left w:w="108" w:type="dxa"/>
            <w:bottom w:w="0" w:type="dxa"/>
            <w:right w:w="108" w:type="dxa"/>
          </w:tblCellMar>
        </w:tblPrEx>
        <w:trPr>
          <w:trHeight w:val="450" w:hRule="atLeast"/>
          <w:jc w:val="center"/>
        </w:trPr>
        <w:tc>
          <w:tcPr>
            <w:tcW w:w="3822" w:type="dxa"/>
            <w:tcBorders>
              <w:top w:val="nil"/>
              <w:left w:val="nil"/>
              <w:bottom w:val="nil"/>
              <w:right w:val="nil"/>
            </w:tcBorders>
            <w:shd w:val="clear" w:color="auto" w:fill="auto"/>
            <w:vAlign w:val="bottom"/>
          </w:tcPr>
          <w:p>
            <w:pPr>
              <w:widowControl/>
              <w:jc w:val="left"/>
              <w:rPr>
                <w:rFonts w:hint="default" w:ascii="Times New Roman" w:hAnsi="Times New Roman" w:eastAsia="方正仿宋_GBK" w:cs="Times New Roman"/>
                <w:color w:val="000000"/>
                <w:kern w:val="0"/>
                <w:sz w:val="24"/>
                <w:szCs w:val="24"/>
              </w:rPr>
            </w:pPr>
          </w:p>
          <w:p>
            <w:pPr>
              <w:widowControl/>
              <w:jc w:val="left"/>
              <w:rPr>
                <w:rFonts w:hint="default" w:ascii="Times New Roman" w:hAnsi="Times New Roman" w:eastAsia="方正仿宋_GBK" w:cs="Times New Roman"/>
                <w:color w:val="000000"/>
                <w:kern w:val="0"/>
                <w:sz w:val="24"/>
                <w:szCs w:val="24"/>
              </w:rPr>
            </w:pPr>
          </w:p>
        </w:tc>
        <w:tc>
          <w:tcPr>
            <w:tcW w:w="984" w:type="dxa"/>
            <w:tcBorders>
              <w:top w:val="nil"/>
              <w:left w:val="nil"/>
              <w:bottom w:val="nil"/>
              <w:right w:val="nil"/>
            </w:tcBorders>
            <w:shd w:val="clear" w:color="auto" w:fill="auto"/>
            <w:vAlign w:val="center"/>
          </w:tcPr>
          <w:p>
            <w:pPr>
              <w:widowControl/>
              <w:jc w:val="right"/>
              <w:rPr>
                <w:rFonts w:hint="default" w:ascii="Times New Roman" w:hAnsi="Times New Roman" w:eastAsia="方正仿宋_GBK" w:cs="Times New Roman"/>
                <w:color w:val="000000"/>
                <w:kern w:val="0"/>
                <w:sz w:val="24"/>
                <w:szCs w:val="24"/>
              </w:rPr>
            </w:pPr>
          </w:p>
        </w:tc>
        <w:tc>
          <w:tcPr>
            <w:tcW w:w="1320" w:type="dxa"/>
            <w:tcBorders>
              <w:top w:val="nil"/>
              <w:left w:val="nil"/>
              <w:bottom w:val="nil"/>
              <w:right w:val="nil"/>
            </w:tcBorders>
            <w:shd w:val="clear" w:color="auto" w:fill="auto"/>
            <w:vAlign w:val="center"/>
          </w:tcPr>
          <w:p>
            <w:pPr>
              <w:widowControl/>
              <w:jc w:val="right"/>
              <w:rPr>
                <w:rFonts w:hint="default" w:ascii="Times New Roman" w:hAnsi="Times New Roman" w:eastAsia="方正仿宋_GBK" w:cs="Times New Roman"/>
                <w:color w:val="000000"/>
                <w:kern w:val="0"/>
                <w:sz w:val="24"/>
                <w:szCs w:val="24"/>
              </w:rPr>
            </w:pPr>
          </w:p>
        </w:tc>
        <w:tc>
          <w:tcPr>
            <w:tcW w:w="1320" w:type="dxa"/>
            <w:tcBorders>
              <w:top w:val="nil"/>
              <w:left w:val="nil"/>
              <w:bottom w:val="nil"/>
              <w:right w:val="nil"/>
            </w:tcBorders>
            <w:shd w:val="clear" w:color="auto" w:fill="auto"/>
            <w:vAlign w:val="center"/>
          </w:tcPr>
          <w:p>
            <w:pPr>
              <w:widowControl/>
              <w:jc w:val="right"/>
              <w:rPr>
                <w:rFonts w:hint="default" w:ascii="Times New Roman" w:hAnsi="Times New Roman" w:eastAsia="方正仿宋_GBK" w:cs="Times New Roman"/>
                <w:color w:val="000000"/>
                <w:kern w:val="0"/>
                <w:sz w:val="24"/>
                <w:szCs w:val="24"/>
              </w:rPr>
            </w:pPr>
          </w:p>
        </w:tc>
        <w:tc>
          <w:tcPr>
            <w:tcW w:w="1495" w:type="dxa"/>
            <w:tcBorders>
              <w:top w:val="nil"/>
              <w:left w:val="nil"/>
              <w:bottom w:val="nil"/>
              <w:right w:val="nil"/>
            </w:tcBorders>
            <w:shd w:val="clear" w:color="auto" w:fill="auto"/>
            <w:vAlign w:val="center"/>
          </w:tcPr>
          <w:p>
            <w:pPr>
              <w:widowControl/>
              <w:jc w:val="righ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单位：万元</w:t>
            </w:r>
          </w:p>
        </w:tc>
      </w:tr>
      <w:tr>
        <w:tblPrEx>
          <w:tblCellMar>
            <w:top w:w="0" w:type="dxa"/>
            <w:left w:w="108" w:type="dxa"/>
            <w:bottom w:w="0" w:type="dxa"/>
            <w:right w:w="108" w:type="dxa"/>
          </w:tblCellMar>
        </w:tblPrEx>
        <w:trPr>
          <w:trHeight w:val="615" w:hRule="atLeast"/>
          <w:jc w:val="center"/>
        </w:trPr>
        <w:tc>
          <w:tcPr>
            <w:tcW w:w="38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项  目</w:t>
            </w:r>
          </w:p>
        </w:tc>
        <w:tc>
          <w:tcPr>
            <w:tcW w:w="9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上年</w:t>
            </w:r>
          </w:p>
          <w:p>
            <w:pPr>
              <w:widowControl/>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决算数</w:t>
            </w:r>
          </w:p>
        </w:tc>
        <w:tc>
          <w:tcPr>
            <w:tcW w:w="13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本年</w:t>
            </w:r>
          </w:p>
          <w:p>
            <w:pPr>
              <w:widowControl/>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决算数</w:t>
            </w:r>
          </w:p>
        </w:tc>
        <w:tc>
          <w:tcPr>
            <w:tcW w:w="281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较上年增减情况</w:t>
            </w:r>
          </w:p>
        </w:tc>
      </w:tr>
      <w:tr>
        <w:tblPrEx>
          <w:tblCellMar>
            <w:top w:w="0" w:type="dxa"/>
            <w:left w:w="108" w:type="dxa"/>
            <w:bottom w:w="0" w:type="dxa"/>
            <w:right w:w="108" w:type="dxa"/>
          </w:tblCellMar>
        </w:tblPrEx>
        <w:trPr>
          <w:trHeight w:val="450" w:hRule="atLeast"/>
          <w:jc w:val="center"/>
        </w:trPr>
        <w:tc>
          <w:tcPr>
            <w:tcW w:w="38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4"/>
                <w:szCs w:val="24"/>
              </w:rPr>
            </w:pPr>
          </w:p>
        </w:tc>
        <w:tc>
          <w:tcPr>
            <w:tcW w:w="98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4"/>
                <w:szCs w:val="24"/>
              </w:rPr>
            </w:pPr>
          </w:p>
        </w:tc>
        <w:tc>
          <w:tcPr>
            <w:tcW w:w="1320"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4"/>
                <w:szCs w:val="24"/>
              </w:rPr>
            </w:pP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增、减额</w:t>
            </w:r>
          </w:p>
        </w:tc>
        <w:tc>
          <w:tcPr>
            <w:tcW w:w="149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增、减幅度</w:t>
            </w:r>
          </w:p>
        </w:tc>
      </w:tr>
      <w:tr>
        <w:tblPrEx>
          <w:tblCellMar>
            <w:top w:w="0" w:type="dxa"/>
            <w:left w:w="108" w:type="dxa"/>
            <w:bottom w:w="0" w:type="dxa"/>
            <w:right w:w="108" w:type="dxa"/>
          </w:tblCellMar>
        </w:tblPrEx>
        <w:trPr>
          <w:trHeight w:val="675" w:hRule="atLeast"/>
          <w:jc w:val="center"/>
        </w:trPr>
        <w:tc>
          <w:tcPr>
            <w:tcW w:w="38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合  计</w:t>
            </w:r>
          </w:p>
        </w:tc>
        <w:tc>
          <w:tcPr>
            <w:tcW w:w="984"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rPr>
              <w:t>948.28</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897.64</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-50.64</w:t>
            </w:r>
          </w:p>
        </w:tc>
        <w:tc>
          <w:tcPr>
            <w:tcW w:w="149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-5.34</w:t>
            </w:r>
          </w:p>
        </w:tc>
      </w:tr>
      <w:tr>
        <w:tblPrEx>
          <w:tblCellMar>
            <w:top w:w="0" w:type="dxa"/>
            <w:left w:w="108" w:type="dxa"/>
            <w:bottom w:w="0" w:type="dxa"/>
            <w:right w:w="108" w:type="dxa"/>
          </w:tblCellMar>
        </w:tblPrEx>
        <w:trPr>
          <w:trHeight w:val="450" w:hRule="atLeast"/>
          <w:jc w:val="center"/>
        </w:trPr>
        <w:tc>
          <w:tcPr>
            <w:tcW w:w="3822" w:type="dxa"/>
            <w:tcBorders>
              <w:top w:val="nil"/>
              <w:left w:val="single" w:color="auto" w:sz="4" w:space="0"/>
              <w:bottom w:val="single" w:color="auto" w:sz="4" w:space="0"/>
              <w:right w:val="single" w:color="auto" w:sz="4" w:space="0"/>
            </w:tcBorders>
            <w:shd w:val="clear" w:color="auto" w:fill="auto"/>
            <w:vAlign w:val="center"/>
          </w:tcPr>
          <w:p>
            <w:pPr>
              <w:widowControl/>
              <w:jc w:val="both"/>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1、因公出国（境）费</w:t>
            </w:r>
          </w:p>
        </w:tc>
        <w:tc>
          <w:tcPr>
            <w:tcW w:w="984"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bidi="ar-SA"/>
              </w:rPr>
              <w:t>0</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0</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0</w:t>
            </w:r>
          </w:p>
        </w:tc>
        <w:tc>
          <w:tcPr>
            <w:tcW w:w="149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0</w:t>
            </w:r>
          </w:p>
        </w:tc>
      </w:tr>
      <w:tr>
        <w:tblPrEx>
          <w:tblCellMar>
            <w:top w:w="0" w:type="dxa"/>
            <w:left w:w="108" w:type="dxa"/>
            <w:bottom w:w="0" w:type="dxa"/>
            <w:right w:w="108" w:type="dxa"/>
          </w:tblCellMar>
        </w:tblPrEx>
        <w:trPr>
          <w:trHeight w:val="450" w:hRule="atLeast"/>
          <w:jc w:val="center"/>
        </w:trPr>
        <w:tc>
          <w:tcPr>
            <w:tcW w:w="3822" w:type="dxa"/>
            <w:tcBorders>
              <w:top w:val="nil"/>
              <w:left w:val="single" w:color="auto" w:sz="4" w:space="0"/>
              <w:bottom w:val="single" w:color="auto" w:sz="4" w:space="0"/>
              <w:right w:val="single" w:color="auto" w:sz="4" w:space="0"/>
            </w:tcBorders>
            <w:shd w:val="clear" w:color="auto" w:fill="auto"/>
            <w:vAlign w:val="center"/>
          </w:tcPr>
          <w:p>
            <w:pPr>
              <w:widowControl/>
              <w:jc w:val="both"/>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2、公务接待费</w:t>
            </w:r>
          </w:p>
        </w:tc>
        <w:tc>
          <w:tcPr>
            <w:tcW w:w="984"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rPr>
              <w:t>514.19</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466.21</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-47.98</w:t>
            </w:r>
          </w:p>
        </w:tc>
        <w:tc>
          <w:tcPr>
            <w:tcW w:w="149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rPr>
              <w:t>-</w:t>
            </w:r>
            <w:r>
              <w:rPr>
                <w:rFonts w:hint="default" w:ascii="Times New Roman" w:hAnsi="Times New Roman" w:eastAsia="方正仿宋_GBK" w:cs="Times New Roman"/>
                <w:color w:val="000000"/>
                <w:kern w:val="0"/>
                <w:sz w:val="24"/>
                <w:szCs w:val="24"/>
                <w:lang w:val="en-US" w:eastAsia="zh-CN"/>
              </w:rPr>
              <w:t>9.33%</w:t>
            </w:r>
          </w:p>
        </w:tc>
      </w:tr>
      <w:tr>
        <w:tblPrEx>
          <w:tblCellMar>
            <w:top w:w="0" w:type="dxa"/>
            <w:left w:w="108" w:type="dxa"/>
            <w:bottom w:w="0" w:type="dxa"/>
            <w:right w:w="108" w:type="dxa"/>
          </w:tblCellMar>
        </w:tblPrEx>
        <w:trPr>
          <w:trHeight w:val="450" w:hRule="atLeast"/>
          <w:jc w:val="center"/>
        </w:trPr>
        <w:tc>
          <w:tcPr>
            <w:tcW w:w="3822" w:type="dxa"/>
            <w:tcBorders>
              <w:top w:val="nil"/>
              <w:left w:val="single" w:color="auto" w:sz="4" w:space="0"/>
              <w:bottom w:val="single" w:color="auto" w:sz="4" w:space="0"/>
              <w:right w:val="single" w:color="auto" w:sz="4" w:space="0"/>
            </w:tcBorders>
            <w:shd w:val="clear" w:color="auto" w:fill="auto"/>
            <w:vAlign w:val="center"/>
          </w:tcPr>
          <w:p>
            <w:pPr>
              <w:widowControl/>
              <w:jc w:val="both"/>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3、公务用车费</w:t>
            </w:r>
          </w:p>
        </w:tc>
        <w:tc>
          <w:tcPr>
            <w:tcW w:w="984"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rPr>
              <w:t>434.09</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431.43</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-2.66</w:t>
            </w:r>
          </w:p>
        </w:tc>
        <w:tc>
          <w:tcPr>
            <w:tcW w:w="149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-0.61%</w:t>
            </w:r>
          </w:p>
        </w:tc>
      </w:tr>
      <w:tr>
        <w:tblPrEx>
          <w:tblCellMar>
            <w:top w:w="0" w:type="dxa"/>
            <w:left w:w="108" w:type="dxa"/>
            <w:bottom w:w="0" w:type="dxa"/>
            <w:right w:w="108" w:type="dxa"/>
          </w:tblCellMar>
        </w:tblPrEx>
        <w:trPr>
          <w:trHeight w:val="450" w:hRule="atLeast"/>
          <w:jc w:val="center"/>
        </w:trPr>
        <w:tc>
          <w:tcPr>
            <w:tcW w:w="3822" w:type="dxa"/>
            <w:tcBorders>
              <w:top w:val="nil"/>
              <w:left w:val="single" w:color="auto" w:sz="4" w:space="0"/>
              <w:bottom w:val="single" w:color="auto" w:sz="4" w:space="0"/>
              <w:right w:val="single" w:color="auto" w:sz="4" w:space="0"/>
            </w:tcBorders>
            <w:shd w:val="clear" w:color="auto" w:fill="auto"/>
            <w:vAlign w:val="center"/>
          </w:tcPr>
          <w:p>
            <w:pPr>
              <w:widowControl/>
              <w:jc w:val="both"/>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其中：（1）公务用车购置</w:t>
            </w:r>
          </w:p>
        </w:tc>
        <w:tc>
          <w:tcPr>
            <w:tcW w:w="984"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rPr>
              <w:t>24.98</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39.71</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14.73</w:t>
            </w:r>
          </w:p>
        </w:tc>
        <w:tc>
          <w:tcPr>
            <w:tcW w:w="149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58.97%</w:t>
            </w:r>
          </w:p>
        </w:tc>
      </w:tr>
      <w:tr>
        <w:tblPrEx>
          <w:tblCellMar>
            <w:top w:w="0" w:type="dxa"/>
            <w:left w:w="108" w:type="dxa"/>
            <w:bottom w:w="0" w:type="dxa"/>
            <w:right w:w="108" w:type="dxa"/>
          </w:tblCellMar>
        </w:tblPrEx>
        <w:trPr>
          <w:trHeight w:val="585" w:hRule="atLeast"/>
          <w:jc w:val="center"/>
        </w:trPr>
        <w:tc>
          <w:tcPr>
            <w:tcW w:w="3822" w:type="dxa"/>
            <w:tcBorders>
              <w:top w:val="nil"/>
              <w:left w:val="single" w:color="auto" w:sz="4" w:space="0"/>
              <w:bottom w:val="single" w:color="auto" w:sz="4" w:space="0"/>
              <w:right w:val="single" w:color="auto" w:sz="4" w:space="0"/>
            </w:tcBorders>
            <w:shd w:val="clear" w:color="auto" w:fill="auto"/>
            <w:vAlign w:val="center"/>
          </w:tcPr>
          <w:p>
            <w:pPr>
              <w:widowControl/>
              <w:ind w:firstLine="720" w:firstLineChars="300"/>
              <w:jc w:val="both"/>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（2）公务用车运行维护费</w:t>
            </w:r>
          </w:p>
        </w:tc>
        <w:tc>
          <w:tcPr>
            <w:tcW w:w="984"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rPr>
              <w:t>409.11</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391.72</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17.39</w:t>
            </w:r>
          </w:p>
        </w:tc>
        <w:tc>
          <w:tcPr>
            <w:tcW w:w="149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-4.25%</w:t>
            </w:r>
          </w:p>
        </w:tc>
      </w:tr>
    </w:tbl>
    <w:p>
      <w:pPr>
        <w:spacing w:line="540" w:lineRule="exact"/>
        <w:ind w:firstLine="640" w:firstLineChars="200"/>
        <w:jc w:val="both"/>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p>
      <w:pPr>
        <w:spacing w:line="540" w:lineRule="exact"/>
        <w:ind w:firstLine="640" w:firstLineChars="200"/>
        <w:jc w:val="both"/>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p>
    <w:p>
      <w:pPr>
        <w:spacing w:line="540" w:lineRule="exact"/>
        <w:ind w:firstLine="640" w:firstLineChars="200"/>
        <w:jc w:val="both"/>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p>
    <w:p>
      <w:pPr>
        <w:spacing w:line="540" w:lineRule="exact"/>
        <w:ind w:firstLine="640" w:firstLineChars="200"/>
        <w:jc w:val="both"/>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p>
    <w:p>
      <w:pPr>
        <w:spacing w:line="540" w:lineRule="exact"/>
        <w:ind w:firstLine="640" w:firstLineChars="200"/>
        <w:jc w:val="both"/>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p>
    <w:p>
      <w:pPr>
        <w:spacing w:line="540" w:lineRule="exact"/>
        <w:ind w:firstLine="640" w:firstLineChars="200"/>
        <w:jc w:val="both"/>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p>
    <w:p>
      <w:pPr>
        <w:spacing w:line="540" w:lineRule="exact"/>
        <w:ind w:firstLine="640" w:firstLineChars="200"/>
        <w:jc w:val="both"/>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p>
    <w:p>
      <w:pPr>
        <w:spacing w:line="540" w:lineRule="exact"/>
        <w:ind w:firstLine="640" w:firstLineChars="200"/>
        <w:jc w:val="both"/>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p>
    <w:p>
      <w:pPr>
        <w:jc w:val="left"/>
        <w:rPr>
          <w:rFonts w:hint="eastAsia" w:ascii="方正黑体_GBK" w:hAnsi="方正黑体_GBK" w:eastAsia="方正黑体_GBK" w:cs="方正黑体_GBK"/>
          <w:bCs/>
          <w:sz w:val="32"/>
          <w:szCs w:val="32"/>
          <w:lang w:val="en-US" w:eastAsia="zh-CN"/>
        </w:rPr>
      </w:pPr>
      <w:r>
        <w:rPr>
          <w:rFonts w:hint="eastAsia" w:ascii="方正黑体_GBK" w:hAnsi="方正黑体_GBK" w:eastAsia="方正黑体_GBK" w:cs="方正黑体_GBK"/>
          <w:bCs/>
          <w:sz w:val="32"/>
          <w:szCs w:val="32"/>
          <w:lang w:val="en-US" w:eastAsia="zh-CN"/>
        </w:rPr>
        <w:t>附件2</w:t>
      </w:r>
    </w:p>
    <w:p>
      <w:pPr>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eastAsia="zh-CN"/>
        </w:rPr>
        <w:t>“</w:t>
      </w:r>
      <w:r>
        <w:rPr>
          <w:rFonts w:hint="eastAsia" w:ascii="方正小标宋_GBK" w:hAnsi="方正小标宋_GBK" w:eastAsia="方正小标宋_GBK" w:cs="方正小标宋_GBK"/>
          <w:bCs/>
          <w:sz w:val="44"/>
          <w:szCs w:val="44"/>
        </w:rPr>
        <w:t>三公”经费口径说明</w:t>
      </w:r>
    </w:p>
    <w:p>
      <w:pPr>
        <w:ind w:firstLine="600" w:firstLineChars="200"/>
        <w:rPr>
          <w:rFonts w:ascii="仿宋_GB2312" w:eastAsia="仿宋_GB2312"/>
          <w:sz w:val="30"/>
          <w:szCs w:val="30"/>
        </w:rPr>
      </w:pPr>
    </w:p>
    <w:p>
      <w:pPr>
        <w:spacing w:line="540" w:lineRule="exact"/>
        <w:ind w:firstLine="640" w:firstLineChars="200"/>
        <w:jc w:val="both"/>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按照党中央、国务院有关文件及部门预算管理有关规定，“三公”经费包括因公出国（境）费、公务用车购置及运行维护费和公务接待费。</w:t>
      </w:r>
    </w:p>
    <w:p>
      <w:pPr>
        <w:spacing w:line="540" w:lineRule="exact"/>
        <w:ind w:firstLine="640" w:firstLineChars="200"/>
        <w:jc w:val="both"/>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因公出国（境）费，指单位公务出国（境）的国际旅费、国外城市间交通费、住宿费、伙食费、培训费、公杂费等支出。  </w:t>
      </w:r>
    </w:p>
    <w:p>
      <w:pPr>
        <w:spacing w:line="540" w:lineRule="exact"/>
        <w:ind w:firstLine="640" w:firstLineChars="200"/>
        <w:jc w:val="both"/>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公务用车购置费，指公务用车购置支出（含车辆购置税、拍照费）；公务用车运行维护费，指单位按规定保留的公务用车燃料费、维修费、过路过桥费、保险费、安全奖励费用等支出。 </w:t>
      </w:r>
    </w:p>
    <w:p>
      <w:pPr>
        <w:spacing w:line="540" w:lineRule="exact"/>
        <w:ind w:firstLine="640" w:firstLineChars="200"/>
        <w:jc w:val="both"/>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公务接待费</w:t>
      </w:r>
      <w:bookmarkStart w:id="0" w:name="_GoBack"/>
      <w:bookmarkEnd w:id="0"/>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，指单位按规定开支的各类公务接待（含外宾接待）费用。</w:t>
      </w:r>
    </w:p>
    <w:p>
      <w:pPr>
        <w:spacing w:line="540" w:lineRule="exact"/>
        <w:ind w:firstLine="640" w:firstLineChars="200"/>
        <w:jc w:val="both"/>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“三公”经费决算数：指各级各部门（含下属单位）用一般公共预算财政拨款（含上年结转结余和当年预算）安排的因公出国（境）费、公务用车购置及运行维护费和公务接待费支出数。</w:t>
      </w:r>
    </w:p>
    <w:sectPr>
      <w:pgSz w:w="11906" w:h="16838"/>
      <w:pgMar w:top="1701" w:right="1417" w:bottom="170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2OGFhMTcwMzM0OTYzZDQwMzRjZDU2MmJlZWM0ZjYifQ=="/>
  </w:docVars>
  <w:rsids>
    <w:rsidRoot w:val="4F306935"/>
    <w:rsid w:val="00001F02"/>
    <w:rsid w:val="00060C66"/>
    <w:rsid w:val="00105429"/>
    <w:rsid w:val="00113A7F"/>
    <w:rsid w:val="00206E16"/>
    <w:rsid w:val="00245E62"/>
    <w:rsid w:val="00437AE3"/>
    <w:rsid w:val="00455115"/>
    <w:rsid w:val="00485929"/>
    <w:rsid w:val="00BF35FA"/>
    <w:rsid w:val="00C318BB"/>
    <w:rsid w:val="00DD188A"/>
    <w:rsid w:val="03913603"/>
    <w:rsid w:val="16D90E50"/>
    <w:rsid w:val="21C25CE2"/>
    <w:rsid w:val="27CF4EE5"/>
    <w:rsid w:val="30651227"/>
    <w:rsid w:val="31041821"/>
    <w:rsid w:val="36C22428"/>
    <w:rsid w:val="36E145B3"/>
    <w:rsid w:val="390C0CC1"/>
    <w:rsid w:val="39755785"/>
    <w:rsid w:val="3CF36204"/>
    <w:rsid w:val="46347F4A"/>
    <w:rsid w:val="4758510C"/>
    <w:rsid w:val="4F306935"/>
    <w:rsid w:val="515E73E9"/>
    <w:rsid w:val="52BF77FD"/>
    <w:rsid w:val="5AFE4A9B"/>
    <w:rsid w:val="651E6932"/>
    <w:rsid w:val="68776372"/>
    <w:rsid w:val="6FBC53AF"/>
    <w:rsid w:val="7AD804FE"/>
    <w:rsid w:val="7BD30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eastAsia="宋体" w:cs="Times New Roman"/>
      <w:kern w:val="2"/>
      <w:sz w:val="18"/>
      <w:szCs w:val="18"/>
    </w:rPr>
  </w:style>
  <w:style w:type="character" w:customStyle="1" w:styleId="7">
    <w:name w:val="页脚 Char"/>
    <w:basedOn w:val="5"/>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云南省财政厅</Company>
  <Pages>3</Pages>
  <Words>900</Words>
  <Characters>1084</Characters>
  <Lines>2</Lines>
  <Paragraphs>2</Paragraphs>
  <TotalTime>0</TotalTime>
  <ScaleCrop>false</ScaleCrop>
  <LinksUpToDate>false</LinksUpToDate>
  <CharactersWithSpaces>1093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2019-06-13T03:33:00Z</dcterms:created>
  <dc:creator>王艺涵</dc:creator>
  <cp:lastModifiedBy>Administrator</cp:lastModifiedBy>
  <cp:lastPrinted>2019-08-08T01:52:00Z</cp:lastPrinted>
  <dcterms:modified xsi:type="dcterms:W3CDTF">2024-02-02T07:24:33Z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00200E7C2E414B01A7DB256DF8DA33EC</vt:lpwstr>
  </property>
</Properties>
</file>