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附件3</w:t>
      </w:r>
    </w:p>
    <w:p>
      <w:pPr>
        <w:jc w:val="center"/>
        <w:rPr>
          <w:rFonts w:ascii="方正小标宋_GBK" w:eastAsia="方正小标宋_GBK"/>
          <w:sz w:val="30"/>
          <w:szCs w:val="36"/>
        </w:rPr>
      </w:pPr>
      <w:r>
        <w:rPr>
          <w:rFonts w:hint="eastAsia" w:ascii="方正小标宋_GBK" w:eastAsia="方正小标宋_GBK"/>
          <w:sz w:val="30"/>
          <w:szCs w:val="36"/>
        </w:rPr>
        <w:t>马龙区2023年中央财政林业改革发展资金项目绩效目标表</w:t>
      </w:r>
    </w:p>
    <w:tbl>
      <w:tblPr>
        <w:tblStyle w:val="7"/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969"/>
        <w:gridCol w:w="1712"/>
        <w:gridCol w:w="1369"/>
        <w:gridCol w:w="306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资金名称</w:t>
            </w:r>
          </w:p>
        </w:tc>
        <w:tc>
          <w:tcPr>
            <w:tcW w:w="6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林业改革发展资金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中央主管部门</w:t>
            </w:r>
          </w:p>
        </w:tc>
        <w:tc>
          <w:tcPr>
            <w:tcW w:w="6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财政部、国家林业和草原局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省级财政部门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云南省财政厅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省级林业和草原主管部门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云南省林业和草原局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州市级财政部门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曲靖市财政局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州市级林业和草原主管部门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曲靖市林业和草原局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县级财政部门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马龙区财政局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县级林业和草原主管部门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马龙区林业和草原局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3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中央补助年度金额(万元)</w:t>
            </w:r>
          </w:p>
        </w:tc>
        <w:tc>
          <w:tcPr>
            <w:tcW w:w="6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725.89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年度总体目标</w:t>
            </w:r>
          </w:p>
        </w:tc>
        <w:tc>
          <w:tcPr>
            <w:tcW w:w="8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深入推进大规模国土绿化行动，开展退耕还林还草和草原生态修复治理、增加造林面积、提升森林质量；强化非国有林生态保护补偿；加强森林草原防火、林业草原有害生物防治、实施林业草原科技推广和林木良种草种培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绩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效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一级指标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二级指标</w:t>
            </w: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三级指标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产出指标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数量指标</w:t>
            </w: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新一轮迟耕还林第三次补助面积(万亩)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新一轮退耕还林延长期补助面积(亩)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新一轮退耕还草延长期补助面积(亩)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草原生态修复治理面积(万亩)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position w:val="-2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造林面积(万亩)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森林质量提升面积(万亩)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上一轮政策到期退耕还生态林抚育面积(万亩)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非国有天然商品林停伐管护面积(万亩)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非国有国家级公益林管护面积(万亩)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森林边境防火隔离带建设长度(公里)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林业有害生物防治面积(万亩次)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草原有害生物防治面积(万亩)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草种繁育面积(万亩)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林草科技推广项目数量(个)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质量指标</w:t>
            </w: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草原生态修复治理质量达标率(%)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造林任务完成合格率(%)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森林质量提升合格率(%)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森林火灾受害率(‰)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≤0.9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主要林业有害生物成灾率(%)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≤1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时效指标</w:t>
            </w: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非国有林保护补偿当期任务完成率(%)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造林当期任务完成率(%)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退耕还林还草补助兑现率(%)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森林质量提升当期任务完成率(%)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成本指标</w:t>
            </w: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新一轮退耕还林第三次补助标准(元/亩)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position w:val="-2"/>
                <w:sz w:val="18"/>
                <w:szCs w:val="18"/>
              </w:rPr>
              <w:t>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新一轮退耕还林延长期补助标准(元/亩)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新一轮退耕还草延长期补助标准(元/亩)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position w:val="-2"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上一轮政策到期退耕还生态林抚育补助标准(元/亩)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非国有天然商品林停伐管护中央财政补助标准(元/亩)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非国有国家级公益林管护中央财政补助标准(元/亩)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效益指标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生态效益指标</w:t>
            </w: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林业有害生物无公害防治率(%)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森林、草原生态系统生态效益发挥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可持续影响指标</w:t>
            </w: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森林、草原、荒漠生态系统功能改善可持续影响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5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满意度指标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服务对象满意度指标</w:t>
            </w:r>
          </w:p>
        </w:tc>
        <w:tc>
          <w:tcPr>
            <w:tcW w:w="4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项目涉及职工、群众满意度(%)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≥80</w:t>
            </w:r>
          </w:p>
        </w:tc>
      </w:tr>
    </w:tbl>
    <w:p>
      <w:pPr>
        <w:spacing w:line="100" w:lineRule="exact"/>
        <w:rPr>
          <w:rFonts w:hint="eastAsia" w:eastAsia="仿宋_GB2312"/>
          <w:sz w:val="32"/>
          <w:szCs w:val="32"/>
        </w:rPr>
      </w:pPr>
    </w:p>
    <w:p>
      <w:pPr>
        <w:spacing w:line="100" w:lineRule="exact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NTI3NjRjMzM5YTQ4MGIzZjAxYzVkODAxMzIzZjcifQ=="/>
  </w:docVars>
  <w:rsids>
    <w:rsidRoot w:val="317C461B"/>
    <w:rsid w:val="317C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  <w:style w:type="table" w:customStyle="1" w:styleId="7">
    <w:name w:val="Table Normal"/>
    <w:basedOn w:val="4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2023-10-26T08:44:00Z</dcterms:created>
  <dc:creator>赵银雄</dc:creator>
  <cp:lastModifiedBy>赵银雄</cp:lastModifiedBy>
  <dcterms:modified xsi:type="dcterms:W3CDTF">2023-10-26T08:48:12Z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A7B48C138944477398D8DAE7B9453FD4_11</vt:lpwstr>
  </property>
</Properties>
</file>